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4722"/>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626902"/>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(f) Biplot of all possible embeddings of sample given a certain proportion of top loadings missing in the dataset.</w:t>
            </w:r>
          </w:p>
          <w:bookmarkEnd w:id="36"/>
        </w:tc>
      </w:tr>
    </w:tbl>
    <w:bookmarkEnd w:id="37"/>
    <w:bookmarkStart w:id="42" w:name="Xe9cd09b8fb7da7d8ee5785b4cc80c47ecf9f2cf"/>
    <w:p>
      <w:pPr>
        <w:pStyle w:val="Heading2"/>
      </w:pPr>
      <w:r>
        <w:t xml:space="preserve">Molecular landscape is a tool to understand and reveal patient heterogeneity</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46" w:name="references"/>
    <w:p>
      <w:pPr>
        <w:pStyle w:val="Heading1"/>
      </w:pPr>
      <w:r>
        <w:t xml:space="preserve">References</w:t>
      </w:r>
    </w:p>
    <w:bookmarkStart w:id="45" w:name="refs"/>
    <w:bookmarkEnd w:id="45"/>
    <w:bookmarkEnd w:id="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2022-09-02T16:16:21Z</dcterms:created>
  <dcterms:modified xsi:type="dcterms:W3CDTF">2022-09-02T16:16:21Z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